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06D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乡宁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生态文化旅游示范区</w:t>
      </w:r>
    </w:p>
    <w:p w:rsidR="00000000" w:rsidRDefault="00D306DE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紫砂陶产业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引智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优惠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办法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试行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</w:p>
    <w:p w:rsidR="00000000" w:rsidRDefault="00D306DE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第一条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为进一步鼓励和吸引社会各界共同参与紫砂陶产业招商引智，创优示范区营商环境，助推紫砂陶产业高质量发展，根据《乡宁县招商引资优惠奖励办法》（乡县办发〔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号）文件精神，结合乡宁生态文化旅游示范区（以下简称：乡宁示范区）紫砂陶产业发展实际，特制定本办法。本办法适用于在乡宁示范区规划范围内从事紫砂陶产业的企业、组织和个人。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hint="eastAsia"/>
          <w:lang w:val="zh-CN"/>
        </w:rPr>
      </w:pPr>
      <w:r>
        <w:rPr>
          <w:rFonts w:ascii="黑体" w:eastAsia="黑体" w:hAnsi="黑体" w:cs="仿宋_GB2312" w:hint="eastAsia"/>
          <w:sz w:val="32"/>
          <w:szCs w:val="32"/>
        </w:rPr>
        <w:t>第</w:t>
      </w:r>
      <w:r>
        <w:rPr>
          <w:rFonts w:ascii="黑体" w:eastAsia="黑体" w:hAnsi="黑体" w:cs="仿宋_GB2312" w:hint="eastAsia"/>
          <w:sz w:val="32"/>
          <w:szCs w:val="32"/>
        </w:rPr>
        <w:t>二</w:t>
      </w:r>
      <w:r>
        <w:rPr>
          <w:rFonts w:ascii="黑体" w:eastAsia="黑体" w:hAnsi="黑体" w:cs="仿宋_GB2312" w:hint="eastAsia"/>
          <w:sz w:val="32"/>
          <w:szCs w:val="32"/>
        </w:rPr>
        <w:t>条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推行“承诺制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标准地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全代办</w:t>
      </w:r>
      <w:r>
        <w:rPr>
          <w:rFonts w:ascii="仿宋_GB2312" w:eastAsia="仿宋_GB2312" w:hAnsi="仿宋_GB2312" w:cs="仿宋_GB2312" w:hint="eastAsia"/>
          <w:sz w:val="32"/>
          <w:szCs w:val="32"/>
        </w:rPr>
        <w:t>”审批模式，由</w:t>
      </w:r>
      <w:r>
        <w:rPr>
          <w:rFonts w:ascii="仿宋_GB2312" w:eastAsia="仿宋_GB2312" w:hAnsi="仿宋_GB2312" w:cs="仿宋_GB2312" w:hint="eastAsia"/>
          <w:sz w:val="32"/>
          <w:szCs w:val="32"/>
        </w:rPr>
        <w:t>乡宁示范区管委会行政审批局根据办理权限牵头协调、办理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各类投资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企业的审批手续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一般项目实现“全承诺、零审批、拿地即可开工”。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乡宁示范区范围内国有建设用地</w:t>
      </w:r>
      <w:r>
        <w:rPr>
          <w:rFonts w:ascii="仿宋_GB2312" w:eastAsia="仿宋_GB2312" w:hAnsi="仿宋_GB2312" w:cs="仿宋_GB2312" w:hint="eastAsia"/>
          <w:sz w:val="32"/>
          <w:szCs w:val="32"/>
        </w:rPr>
        <w:t>紫砂陶</w:t>
      </w:r>
      <w:r>
        <w:rPr>
          <w:rFonts w:ascii="仿宋_GB2312" w:eastAsia="仿宋_GB2312" w:hAnsi="仿宋_GB2312" w:cs="仿宋_GB2312" w:hint="eastAsia"/>
          <w:sz w:val="32"/>
          <w:szCs w:val="32"/>
        </w:rPr>
        <w:t>工业类项目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可采取长期租赁、先租后让、租让结合、弹性年期出让方式供应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执行“净地”出让规定，对新建项目先行完成区域评价、先行设定控制指标。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乡宁示范区紫砂陶小镇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建设遵循总体规划，因块施策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规划红线图内土地全部用于紫砂陶及其配套产业发展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土地既可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整体出让，也可</w:t>
      </w:r>
      <w:r>
        <w:rPr>
          <w:rFonts w:ascii="仿宋_GB2312" w:eastAsia="仿宋_GB2312" w:hAnsi="宋体" w:cs="仿宋_GB2312" w:hint="eastAsia"/>
          <w:sz w:val="32"/>
          <w:szCs w:val="32"/>
        </w:rPr>
        <w:t>按</w:t>
      </w:r>
      <w:r>
        <w:rPr>
          <w:rFonts w:ascii="仿宋_GB2312" w:eastAsia="仿宋_GB2312" w:hAnsi="仿宋_GB2312" w:cs="仿宋_GB2312" w:hint="eastAsia"/>
          <w:sz w:val="32"/>
          <w:szCs w:val="32"/>
        </w:rPr>
        <w:t>功能区分块出让。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第</w:t>
      </w:r>
      <w:r>
        <w:rPr>
          <w:rFonts w:ascii="黑体" w:eastAsia="黑体" w:hAnsi="黑体" w:cs="仿宋_GB2312" w:hint="eastAsia"/>
          <w:sz w:val="32"/>
          <w:szCs w:val="32"/>
        </w:rPr>
        <w:t>四</w:t>
      </w:r>
      <w:r>
        <w:rPr>
          <w:rFonts w:ascii="黑体" w:eastAsia="黑体" w:hAnsi="黑体" w:cs="仿宋_GB2312" w:hint="eastAsia"/>
          <w:sz w:val="32"/>
          <w:szCs w:val="32"/>
        </w:rPr>
        <w:t>条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用地集约的</w:t>
      </w:r>
      <w:r>
        <w:rPr>
          <w:rFonts w:ascii="仿宋_GB2312" w:eastAsia="仿宋_GB2312" w:hAnsi="仿宋_GB2312" w:cs="仿宋_GB2312" w:hint="eastAsia"/>
          <w:sz w:val="32"/>
          <w:szCs w:val="32"/>
        </w:rPr>
        <w:t>紫砂陶</w:t>
      </w:r>
      <w:r>
        <w:rPr>
          <w:rFonts w:ascii="仿宋_GB2312" w:eastAsia="仿宋_GB2312" w:hAnsi="仿宋_GB2312" w:cs="仿宋_GB2312" w:hint="eastAsia"/>
          <w:sz w:val="32"/>
          <w:szCs w:val="32"/>
        </w:rPr>
        <w:t>工业项目，在确定土地出让底价时，可按不低于所在地土地等别相对应《全国工业用地出让最低价标准》的</w:t>
      </w:r>
      <w:r>
        <w:rPr>
          <w:rFonts w:ascii="仿宋_GB2312" w:eastAsia="仿宋_GB2312" w:hAnsi="仿宋_GB2312" w:cs="仿宋_GB2312" w:hint="eastAsia"/>
          <w:sz w:val="32"/>
          <w:szCs w:val="32"/>
        </w:rPr>
        <w:t>70%</w:t>
      </w:r>
      <w:r>
        <w:rPr>
          <w:rFonts w:ascii="仿宋_GB2312" w:eastAsia="仿宋_GB2312" w:hAnsi="仿宋_GB2312" w:cs="仿宋_GB2312" w:hint="eastAsia"/>
          <w:sz w:val="32"/>
          <w:szCs w:val="32"/>
        </w:rPr>
        <w:t>执</w:t>
      </w:r>
      <w:r>
        <w:rPr>
          <w:rFonts w:ascii="仿宋_GB2312" w:eastAsia="仿宋_GB2312" w:hAnsi="仿宋_GB2312" w:cs="仿宋_GB2312" w:hint="eastAsia"/>
          <w:sz w:val="32"/>
          <w:szCs w:val="32"/>
        </w:rPr>
        <w:t>行</w:t>
      </w:r>
      <w:r>
        <w:rPr>
          <w:rFonts w:ascii="仿宋_GB2312" w:eastAsia="仿宋_GB2312" w:hAnsi="仿宋_GB2312" w:cs="仿宋_GB2312" w:hint="eastAsia"/>
          <w:sz w:val="32"/>
          <w:szCs w:val="32"/>
        </w:rPr>
        <w:t>，出让底价低于项目实际取得成本、土地前期开发成本和规定应收取的相关费用之和的，应按不低于实际各项成本费用之和的原则确定出让底价。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紫砂陶</w:t>
      </w:r>
      <w:r>
        <w:rPr>
          <w:rFonts w:ascii="仿宋_GB2312" w:eastAsia="仿宋_GB2312" w:hAnsi="仿宋_GB2312" w:cs="仿宋_GB2312" w:hint="eastAsia"/>
          <w:sz w:val="32"/>
          <w:szCs w:val="32"/>
        </w:rPr>
        <w:t>工业企业在符合规划、不改变用途的前提下，经批准通过厂房加层、厂区改造、内部用地整理等途径提高土地利用率和增加用地容积率的，不再增收土地价款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支持利用工业、仓储等用房、用地兴办符合规划的服务业，涉及原划拨土地使用权转让或改变用途的，经批准可采取协议出让方式供地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政府与社会资本合作投资或社会资本投资的公共服务项目，按照政府与社会资本合作意愿或企业意愿，分别选择划拨（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符合划拨用地名录）、出让、租赁或者作价出资（入股）方式供应土地。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第</w:t>
      </w:r>
      <w:r>
        <w:rPr>
          <w:rFonts w:ascii="黑体" w:eastAsia="黑体" w:hAnsi="黑体" w:cs="仿宋_GB2312" w:hint="eastAsia"/>
          <w:sz w:val="32"/>
          <w:szCs w:val="32"/>
        </w:rPr>
        <w:t>六</w:t>
      </w:r>
      <w:r>
        <w:rPr>
          <w:rFonts w:ascii="黑体" w:eastAsia="黑体" w:hAnsi="黑体" w:cs="仿宋_GB2312" w:hint="eastAsia"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紫砂陶原料</w:t>
      </w:r>
      <w:r>
        <w:rPr>
          <w:rFonts w:ascii="仿宋_GB2312" w:eastAsia="仿宋_GB2312" w:hAnsi="仿宋_GB2312" w:cs="仿宋_GB2312" w:hint="eastAsia"/>
          <w:sz w:val="32"/>
          <w:szCs w:val="32"/>
        </w:rPr>
        <w:t>实行统一</w:t>
      </w:r>
      <w:r>
        <w:rPr>
          <w:rFonts w:ascii="仿宋_GB2312" w:eastAsia="仿宋_GB2312" w:hAnsi="仿宋_GB2312" w:cs="仿宋_GB2312" w:hint="eastAsia"/>
          <w:sz w:val="32"/>
          <w:szCs w:val="32"/>
        </w:rPr>
        <w:t>开采</w:t>
      </w:r>
      <w:r>
        <w:rPr>
          <w:rFonts w:ascii="仿宋_GB2312" w:eastAsia="仿宋_GB2312" w:hAnsi="仿宋_GB2312" w:cs="仿宋_GB2312" w:hint="eastAsia"/>
          <w:sz w:val="32"/>
          <w:szCs w:val="32"/>
        </w:rPr>
        <w:t>，以最低成本供给泥料。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第七条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从开园之日起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</w:t>
      </w:r>
      <w:r>
        <w:rPr>
          <w:rFonts w:ascii="仿宋_GB2312" w:eastAsia="仿宋_GB2312" w:hAnsi="仿宋_GB2312" w:cs="仿宋_GB2312" w:hint="eastAsia"/>
          <w:sz w:val="32"/>
          <w:szCs w:val="32"/>
        </w:rPr>
        <w:t>入驻</w:t>
      </w:r>
      <w:r>
        <w:rPr>
          <w:rFonts w:ascii="仿宋_GB2312" w:eastAsia="仿宋_GB2312" w:hAnsi="仿宋_GB2312" w:cs="仿宋_GB2312" w:hint="eastAsia"/>
          <w:sz w:val="32"/>
          <w:szCs w:val="32"/>
        </w:rPr>
        <w:t>紫砂陶</w:t>
      </w:r>
      <w:r>
        <w:rPr>
          <w:rFonts w:ascii="仿宋_GB2312" w:eastAsia="仿宋_GB2312" w:hAnsi="仿宋_GB2312" w:cs="仿宋_GB2312" w:hint="eastAsia"/>
          <w:sz w:val="32"/>
          <w:szCs w:val="32"/>
        </w:rPr>
        <w:t>小镇</w:t>
      </w:r>
      <w:r>
        <w:rPr>
          <w:rFonts w:ascii="仿宋_GB2312" w:eastAsia="仿宋_GB2312" w:hAnsi="仿宋_GB2312" w:cs="仿宋_GB2312" w:hint="eastAsia"/>
          <w:sz w:val="32"/>
          <w:szCs w:val="32"/>
        </w:rPr>
        <w:t>大师工作室和创意品牌区</w:t>
      </w:r>
      <w:r>
        <w:rPr>
          <w:rFonts w:ascii="仿宋_GB2312" w:eastAsia="仿宋_GB2312" w:hAnsi="仿宋_GB2312" w:cs="仿宋_GB2312" w:hint="eastAsia"/>
          <w:sz w:val="32"/>
          <w:szCs w:val="32"/>
        </w:rPr>
        <w:t>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紫砂陶产业的</w:t>
      </w:r>
      <w:r>
        <w:rPr>
          <w:rFonts w:ascii="仿宋_GB2312" w:eastAsia="仿宋_GB2312" w:hAnsi="宋体" w:cs="仿宋_GB2312" w:hint="eastAsia"/>
          <w:sz w:val="32"/>
          <w:szCs w:val="32"/>
        </w:rPr>
        <w:t>企业，</w:t>
      </w:r>
      <w:r>
        <w:rPr>
          <w:rFonts w:ascii="仿宋_GB2312" w:eastAsia="仿宋_GB2312" w:hAnsi="宋体" w:cs="仿宋_GB2312" w:hint="eastAsia"/>
          <w:sz w:val="32"/>
          <w:szCs w:val="32"/>
        </w:rPr>
        <w:t>从入驻之日起，</w:t>
      </w:r>
      <w:r>
        <w:rPr>
          <w:rFonts w:ascii="仿宋_GB2312" w:eastAsia="仿宋_GB2312" w:hAnsi="宋体" w:cs="仿宋_GB2312" w:hint="eastAsia"/>
          <w:sz w:val="32"/>
          <w:szCs w:val="32"/>
        </w:rPr>
        <w:t>第</w:t>
      </w:r>
      <w:r>
        <w:rPr>
          <w:rFonts w:ascii="仿宋_GB2312" w:eastAsia="仿宋_GB2312" w:hAnsi="宋体" w:cs="仿宋_GB2312" w:hint="eastAsia"/>
          <w:sz w:val="32"/>
          <w:szCs w:val="32"/>
        </w:rPr>
        <w:t>1-3</w:t>
      </w:r>
      <w:r>
        <w:rPr>
          <w:rFonts w:ascii="仿宋_GB2312" w:eastAsia="仿宋_GB2312" w:hAnsi="宋体" w:cs="仿宋_GB2312" w:hint="eastAsia"/>
          <w:sz w:val="32"/>
          <w:szCs w:val="32"/>
        </w:rPr>
        <w:t>年免</w:t>
      </w:r>
      <w:r>
        <w:rPr>
          <w:rFonts w:ascii="仿宋_GB2312" w:eastAsia="仿宋_GB2312" w:hAnsi="宋体" w:cs="仿宋_GB2312" w:hint="eastAsia"/>
          <w:sz w:val="32"/>
          <w:szCs w:val="32"/>
        </w:rPr>
        <w:t>收</w:t>
      </w:r>
      <w:r>
        <w:rPr>
          <w:rFonts w:ascii="仿宋_GB2312" w:eastAsia="仿宋_GB2312" w:hAnsi="宋体" w:cs="仿宋_GB2312" w:hint="eastAsia"/>
          <w:sz w:val="32"/>
          <w:szCs w:val="32"/>
        </w:rPr>
        <w:t>租金，第</w:t>
      </w:r>
      <w:r>
        <w:rPr>
          <w:rFonts w:ascii="仿宋_GB2312" w:eastAsia="仿宋_GB2312" w:hAnsi="宋体" w:cs="仿宋_GB2312" w:hint="eastAsia"/>
          <w:sz w:val="32"/>
          <w:szCs w:val="32"/>
        </w:rPr>
        <w:t>4-6</w:t>
      </w:r>
      <w:r>
        <w:rPr>
          <w:rFonts w:ascii="仿宋_GB2312" w:eastAsia="仿宋_GB2312" w:hAnsi="宋体" w:cs="仿宋_GB2312" w:hint="eastAsia"/>
          <w:sz w:val="32"/>
          <w:szCs w:val="32"/>
        </w:rPr>
        <w:t>年减半收取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00000" w:rsidRDefault="00D306DE">
      <w:pPr>
        <w:spacing w:line="6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第八条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由示范区牵头协调保障最优价格的电力、气源、水、暖供应。</w:t>
      </w:r>
    </w:p>
    <w:p w:rsidR="00000000" w:rsidRDefault="00D306DE">
      <w:pPr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第</w:t>
      </w:r>
      <w:r>
        <w:rPr>
          <w:rFonts w:ascii="黑体" w:eastAsia="黑体" w:hAnsi="黑体" w:cs="仿宋_GB2312" w:hint="eastAsia"/>
          <w:sz w:val="32"/>
          <w:szCs w:val="32"/>
        </w:rPr>
        <w:t>九</w:t>
      </w:r>
      <w:r>
        <w:rPr>
          <w:rFonts w:ascii="黑体" w:eastAsia="黑体" w:hAnsi="黑体" w:cs="仿宋_GB2312" w:hint="eastAsia"/>
          <w:sz w:val="32"/>
          <w:szCs w:val="32"/>
        </w:rPr>
        <w:t>条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鼓励社会资本参与</w:t>
      </w:r>
      <w:r>
        <w:rPr>
          <w:rFonts w:ascii="仿宋_GB2312" w:eastAsia="仿宋_GB2312" w:hAnsi="仿宋_GB2312" w:cs="仿宋_GB2312" w:hint="eastAsia"/>
          <w:sz w:val="32"/>
          <w:szCs w:val="32"/>
        </w:rPr>
        <w:t>紫砂陶产业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凡按规划要求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在规划范围内投资紫砂陶产业的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并在相关部门和示范区管委会报备的，对投资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万元—</w:t>
      </w:r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万元（包含</w:t>
      </w:r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万元（包含</w:t>
      </w:r>
      <w:r>
        <w:rPr>
          <w:rFonts w:ascii="仿宋_GB2312" w:eastAsia="仿宋_GB2312" w:hAnsi="仿宋_GB2312" w:cs="仿宋_GB2312" w:hint="eastAsia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万元—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亿元（包含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亿元以上的项目，</w:t>
      </w:r>
      <w:r>
        <w:rPr>
          <w:rFonts w:ascii="仿宋_GB2312" w:eastAsia="仿宋_GB2312" w:hAnsi="宋体" w:cs="仿宋_GB2312" w:hint="eastAsia"/>
          <w:sz w:val="32"/>
          <w:szCs w:val="32"/>
        </w:rPr>
        <w:t>经县财政局、审计局等相关部门审查后，</w:t>
      </w:r>
      <w:r>
        <w:rPr>
          <w:rFonts w:ascii="仿宋_GB2312" w:eastAsia="仿宋_GB2312" w:hAnsi="仿宋_GB2312" w:cs="仿宋_GB2312" w:hint="eastAsia"/>
          <w:sz w:val="32"/>
          <w:szCs w:val="32"/>
        </w:rPr>
        <w:t>分别按形成固定资产实物量的</w:t>
      </w:r>
      <w:r>
        <w:rPr>
          <w:rFonts w:ascii="仿宋_GB2312" w:eastAsia="仿宋_GB2312" w:hAnsi="仿宋_GB2312" w:cs="仿宋_GB2312" w:hint="eastAsia"/>
          <w:sz w:val="32"/>
          <w:szCs w:val="32"/>
        </w:rPr>
        <w:t>3%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6%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7%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8%</w:t>
      </w:r>
      <w:r>
        <w:rPr>
          <w:rFonts w:ascii="仿宋_GB2312" w:eastAsia="仿宋_GB2312" w:hAnsi="仿宋_GB2312" w:cs="仿宋_GB2312" w:hint="eastAsia"/>
          <w:sz w:val="32"/>
          <w:szCs w:val="32"/>
        </w:rPr>
        <w:t>给予奖补。达到市级奖励标准的按照市级相关文件执行。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第</w:t>
      </w:r>
      <w:r>
        <w:rPr>
          <w:rFonts w:ascii="黑体" w:eastAsia="黑体" w:hAnsi="黑体" w:cs="仿宋_GB2312" w:hint="eastAsia"/>
          <w:sz w:val="32"/>
          <w:szCs w:val="32"/>
        </w:rPr>
        <w:t>十</w:t>
      </w:r>
      <w:r>
        <w:rPr>
          <w:rFonts w:ascii="黑体" w:eastAsia="黑体" w:hAnsi="黑体" w:cs="仿宋_GB2312" w:hint="eastAsia"/>
          <w:sz w:val="32"/>
          <w:szCs w:val="32"/>
        </w:rPr>
        <w:t>条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用足用活金融政策，利用好中小微企业发展基金、民营经济资金链周转保障资金、创业担</w:t>
      </w:r>
      <w:r>
        <w:rPr>
          <w:rFonts w:ascii="仿宋_GB2312" w:eastAsia="仿宋_GB2312" w:hAnsi="宋体" w:cs="仿宋_GB2312" w:hint="eastAsia"/>
          <w:sz w:val="32"/>
          <w:szCs w:val="32"/>
        </w:rPr>
        <w:t>保贷款担保基金等。引导金融机构加大对企业的信贷支持力度，创新对外来投资企业的授信和审贷模式，合理设置担保方式、贷款期限和还款方式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第</w:t>
      </w:r>
      <w:r>
        <w:rPr>
          <w:rFonts w:ascii="黑体" w:eastAsia="黑体" w:hAnsi="黑体" w:cs="仿宋_GB2312" w:hint="eastAsia"/>
          <w:sz w:val="32"/>
          <w:szCs w:val="32"/>
        </w:rPr>
        <w:t>十一</w:t>
      </w:r>
      <w:r>
        <w:rPr>
          <w:rFonts w:ascii="黑体" w:eastAsia="黑体" w:hAnsi="黑体" w:cs="仿宋_GB2312" w:hint="eastAsia"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对在规划范围内投资新建紫砂陶产业项目，固定资产投资在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万元以上（包括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万元）的，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自税务登记年度起，在纳税人依法缴纳增值税和企业所得税后，</w:t>
      </w:r>
      <w:r>
        <w:rPr>
          <w:rFonts w:ascii="仿宋_GB2312" w:eastAsia="仿宋_GB2312" w:hAnsi="仿宋_GB2312" w:cs="仿宋_GB2312" w:hint="eastAsia"/>
          <w:sz w:val="32"/>
          <w:szCs w:val="32"/>
        </w:rPr>
        <w:t>第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按税收（增值税、企业所得税）总额</w:t>
      </w:r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sz w:val="32"/>
          <w:szCs w:val="32"/>
        </w:rPr>
        <w:t>级留成部分的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，第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年至第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年按税收（增值税、企业所得税）总额</w:t>
      </w:r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sz w:val="32"/>
          <w:szCs w:val="32"/>
        </w:rPr>
        <w:t>级留成部分的</w:t>
      </w:r>
      <w:r>
        <w:rPr>
          <w:rFonts w:ascii="仿宋_GB2312" w:eastAsia="仿宋_GB2312" w:hAnsi="仿宋_GB2312" w:cs="仿宋_GB2312" w:hint="eastAsia"/>
          <w:sz w:val="32"/>
          <w:szCs w:val="32"/>
        </w:rPr>
        <w:t>30%</w:t>
      </w:r>
      <w:r>
        <w:rPr>
          <w:rFonts w:ascii="仿宋_GB2312" w:eastAsia="仿宋_GB2312" w:hAnsi="仿宋_GB2312" w:cs="仿宋_GB2312" w:hint="eastAsia"/>
          <w:sz w:val="32"/>
          <w:szCs w:val="32"/>
        </w:rPr>
        <w:t>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第十二条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在乡宁示范区内</w:t>
      </w:r>
      <w:r>
        <w:rPr>
          <w:rFonts w:ascii="仿宋_GB2312" w:eastAsia="仿宋_GB2312" w:hAnsi="仿宋_GB2312" w:cs="仿宋_GB2312" w:hint="eastAsia"/>
          <w:sz w:val="32"/>
          <w:szCs w:val="32"/>
        </w:rPr>
        <w:t>注册登记的紫砂企业、工作室、生产合作社和家庭式作坊，对有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个以上工作台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解决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人以上</w:t>
      </w:r>
      <w:r>
        <w:rPr>
          <w:rFonts w:ascii="仿宋_GB2312" w:eastAsia="仿宋_GB2312" w:hAnsi="仿宋_GB2312" w:cs="仿宋_GB2312" w:hint="eastAsia"/>
          <w:sz w:val="32"/>
          <w:szCs w:val="32"/>
        </w:rPr>
        <w:t>从</w:t>
      </w:r>
      <w:r>
        <w:rPr>
          <w:rFonts w:ascii="仿宋_GB2312" w:eastAsia="仿宋_GB2312" w:hAnsi="仿宋_GB2312" w:cs="仿宋_GB2312" w:hint="eastAsia"/>
          <w:sz w:val="32"/>
          <w:szCs w:val="32"/>
        </w:rPr>
        <w:t>业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人员（包括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，且配置烧制设备的，一次性给予</w:t>
      </w:r>
      <w:r>
        <w:rPr>
          <w:rFonts w:ascii="仿宋_GB2312" w:eastAsia="仿宋_GB2312" w:hAnsi="仿宋_GB2312" w:cs="仿宋_GB2312" w:hint="eastAsia"/>
          <w:sz w:val="32"/>
          <w:szCs w:val="32"/>
        </w:rPr>
        <w:t>1.5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万元设备购置补贴。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第十三条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加大对紫砂陶人才的培训和就业保障力度。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集中培训。乡宁示范</w:t>
      </w:r>
      <w:r>
        <w:rPr>
          <w:rFonts w:ascii="仿宋_GB2312" w:eastAsia="仿宋_GB2312" w:hAnsi="宋体" w:cs="仿宋_GB2312" w:hint="eastAsia"/>
          <w:sz w:val="32"/>
          <w:szCs w:val="32"/>
        </w:rPr>
        <w:t>区管委会制定集中培训方案，根据培训方案每年组织一定规模的炼泥、制作、雕刻、烧制等专题培训。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自主培训。各相关企业在乡宁示范区管委会报备后，可根据实际情况对紫砂陶从业人员开展岗前自主培训，培训满</w:t>
      </w:r>
      <w:r>
        <w:rPr>
          <w:rFonts w:ascii="仿宋_GB2312" w:eastAsia="仿宋_GB2312" w:hAnsi="宋体" w:cs="仿宋_GB2312" w:hint="eastAsia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sz w:val="32"/>
          <w:szCs w:val="32"/>
        </w:rPr>
        <w:t>个月、培训人数在</w:t>
      </w:r>
      <w:r>
        <w:rPr>
          <w:rFonts w:ascii="仿宋_GB2312" w:eastAsia="仿宋_GB2312" w:hAnsi="宋体" w:cs="仿宋_GB2312" w:hint="eastAsia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人以上，并且达到培训标准要求的，按照参训人员每人</w:t>
      </w:r>
      <w:r>
        <w:rPr>
          <w:rFonts w:ascii="仿宋_GB2312" w:eastAsia="仿宋_GB2312" w:hAnsi="宋体" w:cs="仿宋_GB2312" w:hint="eastAsia"/>
          <w:sz w:val="32"/>
          <w:szCs w:val="32"/>
        </w:rPr>
        <w:t>3000</w:t>
      </w:r>
      <w:r>
        <w:rPr>
          <w:rFonts w:ascii="仿宋_GB2312" w:eastAsia="仿宋_GB2312" w:hAnsi="宋体" w:cs="仿宋_GB2312" w:hint="eastAsia"/>
          <w:sz w:val="32"/>
          <w:szCs w:val="32"/>
        </w:rPr>
        <w:t>元给予所在企业补贴；岗前培训满</w:t>
      </w:r>
      <w:r>
        <w:rPr>
          <w:rFonts w:ascii="仿宋_GB2312" w:eastAsia="仿宋_GB2312" w:hAnsi="宋体" w:cs="仿宋_GB2312" w:hint="eastAsia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年、培训人数在</w:t>
      </w:r>
      <w:r>
        <w:rPr>
          <w:rFonts w:ascii="仿宋_GB2312" w:eastAsia="仿宋_GB2312" w:hAnsi="宋体" w:cs="仿宋_GB2312" w:hint="eastAsia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人以上的，并且达到培训标准要求的，按照参训人员每人</w:t>
      </w:r>
      <w:r>
        <w:rPr>
          <w:rFonts w:ascii="仿宋_GB2312" w:eastAsia="仿宋_GB2312" w:hAnsi="宋体" w:cs="仿宋_GB2312" w:hint="eastAsia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万元给予所在企业补贴。对聘请有资质的紫砂陶培训师傅或专业人员在企业内进行培训，达到培训标准要求的，按照每个培训师傅或专业人员</w:t>
      </w:r>
      <w:r>
        <w:rPr>
          <w:rFonts w:ascii="仿宋_GB2312" w:eastAsia="仿宋_GB2312" w:hAnsi="宋体" w:cs="仿宋_GB2312" w:hint="eastAsia"/>
          <w:sz w:val="32"/>
          <w:szCs w:val="32"/>
        </w:rPr>
        <w:t>5000</w:t>
      </w:r>
      <w:r>
        <w:rPr>
          <w:rFonts w:ascii="仿宋_GB2312" w:eastAsia="仿宋_GB2312" w:hAnsi="宋体" w:cs="仿宋_GB2312" w:hint="eastAsia"/>
          <w:sz w:val="32"/>
          <w:szCs w:val="32"/>
        </w:rPr>
        <w:t>元给予企业补</w:t>
      </w:r>
      <w:r>
        <w:rPr>
          <w:rFonts w:ascii="仿宋_GB2312" w:eastAsia="仿宋_GB2312" w:hAnsi="宋体" w:cs="仿宋_GB2312" w:hint="eastAsia"/>
          <w:sz w:val="32"/>
          <w:szCs w:val="32"/>
        </w:rPr>
        <w:t>贴。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外出培训。企业在乡宁示范区管委会报备后，选送本企业就业人员到先进地区外出培训的，对外出培训</w:t>
      </w:r>
      <w:r>
        <w:rPr>
          <w:rFonts w:ascii="仿宋_GB2312" w:eastAsia="仿宋_GB2312" w:hAnsi="宋体" w:cs="仿宋_GB2312" w:hint="eastAsia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个月以上</w:t>
      </w:r>
      <w:r>
        <w:rPr>
          <w:rFonts w:ascii="仿宋_GB2312" w:eastAsia="仿宋_GB2312" w:hAnsi="宋体" w:cs="仿宋_GB2312" w:hint="eastAsia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年以内，并且达到培训标准要求的，按照每人每月</w:t>
      </w:r>
      <w:r>
        <w:rPr>
          <w:rFonts w:ascii="仿宋_GB2312" w:eastAsia="仿宋_GB2312" w:hAnsi="宋体" w:cs="仿宋_GB2312" w:hint="eastAsia"/>
          <w:sz w:val="32"/>
          <w:szCs w:val="32"/>
        </w:rPr>
        <w:t>3000</w:t>
      </w:r>
      <w:r>
        <w:rPr>
          <w:rFonts w:ascii="仿宋_GB2312" w:eastAsia="仿宋_GB2312" w:hAnsi="宋体" w:cs="仿宋_GB2312" w:hint="eastAsia"/>
          <w:sz w:val="32"/>
          <w:szCs w:val="32"/>
        </w:rPr>
        <w:t>元给予所在企业补贴。</w:t>
      </w:r>
    </w:p>
    <w:p w:rsidR="00000000" w:rsidRDefault="00D306DE">
      <w:pPr>
        <w:spacing w:line="620" w:lineRule="exact"/>
        <w:jc w:val="left"/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就业奖励。参加岗前培训期满的人员与所在企业签订就业合同的，按照每人</w:t>
      </w:r>
      <w:r>
        <w:rPr>
          <w:rFonts w:ascii="仿宋_GB2312" w:eastAsia="仿宋_GB2312" w:hAnsi="宋体" w:cs="仿宋_GB2312" w:hint="eastAsia"/>
          <w:sz w:val="32"/>
          <w:szCs w:val="32"/>
        </w:rPr>
        <w:t>5000</w:t>
      </w:r>
      <w:r>
        <w:rPr>
          <w:rFonts w:ascii="仿宋_GB2312" w:eastAsia="仿宋_GB2312" w:hAnsi="宋体" w:cs="仿宋_GB2312" w:hint="eastAsia"/>
          <w:sz w:val="32"/>
          <w:szCs w:val="32"/>
        </w:rPr>
        <w:t>元给予所在企业奖励。对紫砂陶建材生产线企业每解决</w:t>
      </w:r>
      <w:r>
        <w:rPr>
          <w:rFonts w:ascii="仿宋_GB2312" w:eastAsia="仿宋_GB2312" w:hAnsi="宋体" w:cs="仿宋_GB2312" w:hint="eastAsia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名就业工人的，给予所在企业</w:t>
      </w:r>
      <w:r>
        <w:rPr>
          <w:rFonts w:ascii="仿宋_GB2312" w:eastAsia="仿宋_GB2312" w:hAnsi="宋体" w:cs="仿宋_GB2312" w:hint="eastAsia"/>
          <w:sz w:val="32"/>
          <w:szCs w:val="32"/>
        </w:rPr>
        <w:t>3000</w:t>
      </w:r>
      <w:r>
        <w:rPr>
          <w:rFonts w:ascii="仿宋_GB2312" w:eastAsia="仿宋_GB2312" w:hAnsi="宋体" w:cs="仿宋_GB2312" w:hint="eastAsia"/>
          <w:sz w:val="32"/>
          <w:szCs w:val="32"/>
        </w:rPr>
        <w:t>元的奖励。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第十四条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对规划范围内从事紫砂陶产业的企业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</w:rPr>
        <w:t>有</w:t>
      </w:r>
      <w:r>
        <w:rPr>
          <w:rFonts w:ascii="仿宋_GB2312" w:eastAsia="仿宋_GB2312" w:hAnsi="宋体" w:cs="仿宋_GB2312" w:hint="eastAsia"/>
          <w:sz w:val="32"/>
          <w:szCs w:val="32"/>
        </w:rPr>
        <w:t>被评为市级工艺美术大师、省级工艺美术大师、国家级工艺美术大师的，</w:t>
      </w:r>
      <w:r>
        <w:rPr>
          <w:rFonts w:ascii="仿宋_GB2312" w:eastAsia="仿宋_GB2312" w:hAnsi="宋体" w:cs="仿宋_GB2312" w:hint="eastAsia"/>
          <w:sz w:val="32"/>
          <w:szCs w:val="32"/>
        </w:rPr>
        <w:t>按照《乡宁县全域旅游发展扶持奖励办法（试</w:t>
      </w:r>
      <w:r>
        <w:rPr>
          <w:rFonts w:ascii="仿宋_GB2312" w:eastAsia="仿宋_GB2312" w:hAnsi="宋体" w:cs="仿宋_GB2312" w:hint="eastAsia"/>
          <w:sz w:val="32"/>
          <w:szCs w:val="32"/>
        </w:rPr>
        <w:t>行）》相关规定进行奖励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</w:rPr>
        <w:t>分别</w:t>
      </w:r>
      <w:r>
        <w:rPr>
          <w:rFonts w:ascii="仿宋_GB2312" w:eastAsia="仿宋_GB2312" w:hAnsi="宋体" w:cs="仿宋_GB2312" w:hint="eastAsia"/>
          <w:sz w:val="32"/>
          <w:szCs w:val="32"/>
        </w:rPr>
        <w:t>给予</w:t>
      </w:r>
      <w:r>
        <w:rPr>
          <w:rFonts w:ascii="仿宋_GB2312" w:eastAsia="仿宋_GB2312" w:hAnsi="宋体" w:cs="仿宋_GB2312" w:hint="eastAsia"/>
          <w:sz w:val="32"/>
          <w:szCs w:val="32"/>
        </w:rPr>
        <w:t>培养企业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万元、</w:t>
      </w:r>
      <w:r>
        <w:rPr>
          <w:rFonts w:ascii="仿宋_GB2312" w:eastAsia="仿宋_GB2312" w:hAnsi="宋体" w:cs="仿宋_GB2312" w:hint="eastAsia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万元、</w:t>
      </w:r>
      <w:r>
        <w:rPr>
          <w:rFonts w:ascii="仿宋_GB2312" w:eastAsia="仿宋_GB2312" w:hAnsi="宋体" w:cs="仿宋_GB2312" w:hint="eastAsia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sz w:val="32"/>
          <w:szCs w:val="32"/>
        </w:rPr>
        <w:t>万元的一次性奖励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第十五条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对规划范围内从事紫砂陶产业的企业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</w:rPr>
        <w:t>有</w:t>
      </w:r>
      <w:r>
        <w:rPr>
          <w:rFonts w:ascii="仿宋_GB2312" w:eastAsia="仿宋_GB2312" w:hAnsi="宋体" w:cs="仿宋_GB2312" w:hint="eastAsia"/>
          <w:sz w:val="32"/>
          <w:szCs w:val="32"/>
        </w:rPr>
        <w:t>引进</w:t>
      </w:r>
      <w:r>
        <w:rPr>
          <w:rFonts w:ascii="仿宋_GB2312" w:eastAsia="仿宋_GB2312" w:hAnsi="宋体" w:cs="仿宋_GB2312" w:hint="eastAsia"/>
          <w:sz w:val="32"/>
          <w:szCs w:val="32"/>
        </w:rPr>
        <w:t>省级工艺美术大师、国家级工艺美术大师的，</w:t>
      </w:r>
      <w:r>
        <w:rPr>
          <w:rFonts w:ascii="仿宋_GB2312" w:eastAsia="仿宋_GB2312" w:hAnsi="宋体" w:cs="仿宋_GB2312" w:hint="eastAsia"/>
          <w:sz w:val="32"/>
          <w:szCs w:val="32"/>
        </w:rPr>
        <w:t>且在引进企业工作时间和作品数量达到相关要求的，</w:t>
      </w:r>
      <w:r>
        <w:rPr>
          <w:rFonts w:ascii="仿宋_GB2312" w:eastAsia="仿宋_GB2312" w:hAnsi="宋体" w:cs="仿宋_GB2312" w:hint="eastAsia"/>
          <w:sz w:val="32"/>
          <w:szCs w:val="32"/>
        </w:rPr>
        <w:t>分别给予</w:t>
      </w:r>
      <w:r>
        <w:rPr>
          <w:rFonts w:ascii="仿宋_GB2312" w:eastAsia="仿宋_GB2312" w:hAnsi="宋体" w:cs="仿宋_GB2312" w:hint="eastAsia"/>
          <w:sz w:val="32"/>
          <w:szCs w:val="32"/>
        </w:rPr>
        <w:t>引进</w:t>
      </w:r>
      <w:r>
        <w:rPr>
          <w:rFonts w:ascii="仿宋_GB2312" w:eastAsia="仿宋_GB2312" w:hAnsi="宋体" w:cs="仿宋_GB2312" w:hint="eastAsia"/>
          <w:sz w:val="32"/>
          <w:szCs w:val="32"/>
        </w:rPr>
        <w:t>企业</w:t>
      </w:r>
      <w:r>
        <w:rPr>
          <w:rFonts w:ascii="仿宋_GB2312" w:eastAsia="仿宋_GB2312" w:hAnsi="宋体" w:cs="仿宋_GB2312" w:hint="eastAsia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万元、</w:t>
      </w:r>
      <w:r>
        <w:rPr>
          <w:rFonts w:ascii="仿宋_GB2312" w:eastAsia="仿宋_GB2312" w:hAnsi="宋体" w:cs="仿宋_GB2312" w:hint="eastAsia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sz w:val="32"/>
          <w:szCs w:val="32"/>
        </w:rPr>
        <w:t>万元的一次性奖励。</w:t>
      </w:r>
    </w:p>
    <w:p w:rsidR="00000000" w:rsidRDefault="00D306DE">
      <w:pPr>
        <w:adjustRightInd w:val="0"/>
        <w:snapToGrid w:val="0"/>
        <w:spacing w:line="600" w:lineRule="exact"/>
        <w:ind w:firstLineChars="200" w:firstLine="640"/>
      </w:pPr>
      <w:r>
        <w:rPr>
          <w:rFonts w:ascii="黑体" w:eastAsia="黑体" w:hAnsi="黑体" w:cs="仿宋_GB2312" w:hint="eastAsia"/>
          <w:sz w:val="32"/>
          <w:szCs w:val="32"/>
        </w:rPr>
        <w:t>第十</w:t>
      </w:r>
      <w:r>
        <w:rPr>
          <w:rFonts w:ascii="黑体" w:eastAsia="黑体" w:hAnsi="黑体" w:cs="仿宋_GB2312" w:hint="eastAsia"/>
          <w:sz w:val="32"/>
          <w:szCs w:val="32"/>
        </w:rPr>
        <w:t>六</w:t>
      </w:r>
      <w:r>
        <w:rPr>
          <w:rFonts w:ascii="黑体" w:eastAsia="黑体" w:hAnsi="黑体" w:cs="仿宋_GB2312" w:hint="eastAsia"/>
          <w:sz w:val="32"/>
          <w:szCs w:val="32"/>
        </w:rPr>
        <w:t>条</w:t>
      </w:r>
      <w:r>
        <w:rPr>
          <w:rFonts w:ascii="黑体" w:eastAsia="黑体" w:hAnsi="黑体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规划范围内创办两年以上的紫砂陶企业或从事紫砂陶产业</w:t>
      </w:r>
      <w:r>
        <w:rPr>
          <w:rFonts w:ascii="仿宋_GB2312" w:eastAsia="仿宋_GB2312" w:hAnsi="宋体" w:cs="仿宋_GB2312" w:hint="eastAsia"/>
          <w:sz w:val="32"/>
          <w:szCs w:val="32"/>
        </w:rPr>
        <w:t>工作两年以上</w:t>
      </w:r>
      <w:r>
        <w:rPr>
          <w:rFonts w:ascii="仿宋_GB2312" w:eastAsia="仿宋_GB2312" w:hAnsi="宋体" w:cs="仿宋_GB2312" w:hint="eastAsia"/>
          <w:sz w:val="32"/>
          <w:szCs w:val="32"/>
        </w:rPr>
        <w:t>的人员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</w:rPr>
        <w:t>申报成为市级非物质文化遗产保护单位或传承人、省级非物质文化遗产保护单位或传承人、国家级非物质文化遗产保护单位或传承人的，</w:t>
      </w:r>
      <w:r>
        <w:rPr>
          <w:rFonts w:ascii="仿宋_GB2312" w:eastAsia="仿宋_GB2312" w:hAnsi="宋体" w:cs="仿宋_GB2312" w:hint="eastAsia"/>
          <w:sz w:val="32"/>
          <w:szCs w:val="32"/>
        </w:rPr>
        <w:t>按照《乡宁县全域旅游发展扶持奖励办法（试行</w:t>
      </w:r>
      <w:r>
        <w:rPr>
          <w:rFonts w:ascii="仿宋_GB2312" w:eastAsia="仿宋_GB2312" w:hAnsi="宋体" w:cs="仿宋_GB2312" w:hint="eastAsia"/>
          <w:sz w:val="32"/>
          <w:szCs w:val="32"/>
        </w:rPr>
        <w:t>）》相关规定进行奖励，</w:t>
      </w:r>
      <w:r>
        <w:rPr>
          <w:rFonts w:ascii="仿宋_GB2312" w:eastAsia="仿宋_GB2312" w:hAnsi="宋体" w:cs="仿宋_GB2312" w:hint="eastAsia"/>
          <w:sz w:val="32"/>
          <w:szCs w:val="32"/>
        </w:rPr>
        <w:t>分别给予</w:t>
      </w:r>
      <w:r>
        <w:rPr>
          <w:rFonts w:ascii="仿宋_GB2312" w:eastAsia="仿宋_GB2312" w:hAnsi="宋体" w:cs="仿宋_GB2312" w:hint="eastAsia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万元、</w:t>
      </w:r>
      <w:r>
        <w:rPr>
          <w:rFonts w:ascii="仿宋_GB2312" w:eastAsia="仿宋_GB2312" w:hAnsi="宋体" w:cs="仿宋_GB2312" w:hint="eastAsia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万元、</w:t>
      </w:r>
      <w:r>
        <w:rPr>
          <w:rFonts w:ascii="仿宋_GB2312" w:eastAsia="仿宋_GB2312" w:hAnsi="宋体" w:cs="仿宋_GB2312" w:hint="eastAsia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sz w:val="32"/>
          <w:szCs w:val="32"/>
        </w:rPr>
        <w:t>万元的一次性奖励。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第十</w:t>
      </w:r>
      <w:r>
        <w:rPr>
          <w:rFonts w:ascii="黑体" w:eastAsia="黑体" w:hAnsi="黑体" w:cs="仿宋_GB2312" w:hint="eastAsia"/>
          <w:sz w:val="32"/>
          <w:szCs w:val="32"/>
        </w:rPr>
        <w:t>七</w:t>
      </w:r>
      <w:r>
        <w:rPr>
          <w:rFonts w:ascii="黑体" w:eastAsia="黑体" w:hAnsi="黑体" w:cs="仿宋_GB2312" w:hint="eastAsia"/>
          <w:sz w:val="32"/>
          <w:szCs w:val="32"/>
        </w:rPr>
        <w:t>条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</w:t>
      </w:r>
      <w:r>
        <w:rPr>
          <w:rFonts w:ascii="仿宋_GB2312" w:eastAsia="仿宋_GB2312" w:hAnsi="仿宋_GB2312" w:cs="仿宋_GB2312" w:hint="eastAsia"/>
          <w:sz w:val="32"/>
          <w:szCs w:val="32"/>
        </w:rPr>
        <w:t>紫砂陶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企业采用新技术、新工艺，开发新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产品、新材料，走“专精特新”之路，创名优产品、“老字号”产品和高质量产品。对认定的市级、省级专精特新企业，分别给予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万元的一次性奖励。对获得省级名牌产品、省级著名商标、“三晋老字号”或省级质量奖的企业，分别给予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万元的一次性奖励；对获得国家驰名商标或中国质量奖的企业，分别给予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万元的一次性奖励。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第十八条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对</w:t>
      </w:r>
      <w:r>
        <w:rPr>
          <w:rFonts w:ascii="仿宋_GB2312" w:eastAsia="仿宋_GB2312" w:hAnsi="宋体" w:cs="仿宋_GB2312" w:hint="eastAsia"/>
          <w:sz w:val="32"/>
          <w:szCs w:val="32"/>
        </w:rPr>
        <w:t>获得市级以上紫砂陶产业示范基地荣誉的，一次性给予</w:t>
      </w:r>
      <w:r>
        <w:rPr>
          <w:rFonts w:ascii="仿宋_GB2312" w:eastAsia="仿宋_GB2312" w:hAnsi="宋体" w:cs="仿宋_GB2312" w:hint="eastAsia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万元奖励。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</w:pPr>
      <w:r>
        <w:rPr>
          <w:rFonts w:ascii="黑体" w:eastAsia="黑体" w:hAnsi="黑体" w:cs="仿宋_GB2312" w:hint="eastAsia"/>
          <w:sz w:val="32"/>
          <w:szCs w:val="32"/>
        </w:rPr>
        <w:t>第十</w:t>
      </w:r>
      <w:r>
        <w:rPr>
          <w:rFonts w:ascii="黑体" w:eastAsia="黑体" w:hAnsi="黑体" w:cs="仿宋_GB2312" w:hint="eastAsia"/>
          <w:sz w:val="32"/>
          <w:szCs w:val="32"/>
        </w:rPr>
        <w:t>九</w:t>
      </w:r>
      <w:r>
        <w:rPr>
          <w:rFonts w:ascii="黑体" w:eastAsia="黑体" w:hAnsi="黑体" w:cs="仿宋_GB2312" w:hint="eastAsia"/>
          <w:sz w:val="32"/>
          <w:szCs w:val="32"/>
        </w:rPr>
        <w:t>条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对乡宁</w:t>
      </w:r>
      <w:r>
        <w:rPr>
          <w:rFonts w:ascii="仿宋_GB2312" w:eastAsia="仿宋_GB2312" w:hint="eastAsia"/>
          <w:sz w:val="32"/>
          <w:szCs w:val="32"/>
        </w:rPr>
        <w:t>县域内</w:t>
      </w:r>
      <w:r>
        <w:rPr>
          <w:rFonts w:ascii="仿宋_GB2312" w:eastAsia="仿宋_GB2312" w:hint="eastAsia"/>
          <w:sz w:val="32"/>
          <w:szCs w:val="32"/>
        </w:rPr>
        <w:t>年销售额达到</w:t>
      </w:r>
      <w:r>
        <w:rPr>
          <w:rFonts w:ascii="仿宋_GB2312" w:eastAsia="仿宋_GB2312" w:hint="eastAsia"/>
          <w:sz w:val="32"/>
          <w:szCs w:val="32"/>
        </w:rPr>
        <w:t>300</w:t>
      </w:r>
      <w:r>
        <w:rPr>
          <w:rFonts w:ascii="仿宋_GB2312" w:eastAsia="仿宋_GB2312" w:hint="eastAsia"/>
          <w:sz w:val="32"/>
          <w:szCs w:val="32"/>
        </w:rPr>
        <w:t>万—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万（含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万）、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万—</w:t>
      </w:r>
      <w:r>
        <w:rPr>
          <w:rFonts w:ascii="仿宋_GB2312" w:eastAsia="仿宋_GB2312" w:hint="eastAsia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万（含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000</w:t>
      </w:r>
      <w:r>
        <w:rPr>
          <w:rFonts w:ascii="仿宋_GB2312" w:eastAsia="仿宋_GB2312" w:hint="eastAsia"/>
          <w:sz w:val="32"/>
          <w:szCs w:val="32"/>
        </w:rPr>
        <w:t>万元）、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000</w:t>
      </w:r>
      <w:r>
        <w:rPr>
          <w:rFonts w:ascii="仿宋_GB2312" w:eastAsia="仿宋_GB2312" w:hint="eastAsia"/>
          <w:sz w:val="32"/>
          <w:szCs w:val="32"/>
        </w:rPr>
        <w:t>万元以上</w:t>
      </w:r>
      <w:r>
        <w:rPr>
          <w:rFonts w:ascii="仿宋_GB2312" w:eastAsia="仿宋_GB2312" w:hint="eastAsia"/>
          <w:sz w:val="32"/>
          <w:szCs w:val="32"/>
        </w:rPr>
        <w:t>的紫砂陶企业</w:t>
      </w:r>
      <w:r>
        <w:rPr>
          <w:rFonts w:ascii="仿宋_GB2312" w:eastAsia="仿宋_GB2312" w:hint="eastAsia"/>
          <w:sz w:val="32"/>
          <w:szCs w:val="32"/>
        </w:rPr>
        <w:t>，分别给予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万元、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万元、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万元的一次性奖励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对在乡宁</w:t>
      </w:r>
      <w:r>
        <w:rPr>
          <w:rFonts w:ascii="仿宋_GB2312" w:eastAsia="仿宋_GB2312" w:hAnsi="宋体" w:cs="仿宋_GB2312" w:hint="eastAsia"/>
          <w:sz w:val="32"/>
          <w:szCs w:val="32"/>
        </w:rPr>
        <w:t>县域外</w:t>
      </w:r>
      <w:r>
        <w:rPr>
          <w:rFonts w:ascii="仿宋_GB2312" w:eastAsia="仿宋_GB2312" w:hAnsi="宋体" w:cs="仿宋_GB2312" w:hint="eastAsia"/>
          <w:sz w:val="32"/>
          <w:szCs w:val="32"/>
        </w:rPr>
        <w:t>建立乡宁紫砂直销店，年销售收入突破</w:t>
      </w:r>
      <w:r>
        <w:rPr>
          <w:rFonts w:ascii="仿宋_GB2312" w:eastAsia="仿宋_GB2312" w:hAnsi="宋体" w:cs="仿宋_GB2312" w:hint="eastAsia"/>
          <w:sz w:val="32"/>
          <w:szCs w:val="32"/>
        </w:rPr>
        <w:t>300</w:t>
      </w:r>
      <w:r>
        <w:rPr>
          <w:rFonts w:ascii="仿宋_GB2312" w:eastAsia="仿宋_GB2312" w:hAnsi="宋体" w:cs="仿宋_GB2312" w:hint="eastAsia"/>
          <w:sz w:val="32"/>
          <w:szCs w:val="32"/>
        </w:rPr>
        <w:t>万元、</w:t>
      </w:r>
      <w:r>
        <w:rPr>
          <w:rFonts w:ascii="仿宋_GB2312" w:eastAsia="仿宋_GB2312" w:hAnsi="宋体" w:cs="仿宋_GB2312" w:hint="eastAsia"/>
          <w:sz w:val="32"/>
          <w:szCs w:val="32"/>
        </w:rPr>
        <w:t>500</w:t>
      </w:r>
      <w:r>
        <w:rPr>
          <w:rFonts w:ascii="仿宋_GB2312" w:eastAsia="仿宋_GB2312" w:hAnsi="宋体" w:cs="仿宋_GB2312" w:hint="eastAsia"/>
          <w:sz w:val="32"/>
          <w:szCs w:val="32"/>
        </w:rPr>
        <w:t>万元，一次性分别奖励</w:t>
      </w:r>
      <w:r>
        <w:rPr>
          <w:rFonts w:ascii="仿宋_GB2312" w:eastAsia="仿宋_GB2312" w:hAnsi="宋体" w:cs="仿宋_GB2312" w:hint="eastAsia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万元、</w:t>
      </w:r>
      <w:r>
        <w:rPr>
          <w:rFonts w:ascii="仿宋_GB2312" w:eastAsia="仿宋_GB2312" w:hAnsi="宋体" w:cs="仿宋_GB2312" w:hint="eastAsia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sz w:val="32"/>
          <w:szCs w:val="32"/>
        </w:rPr>
        <w:t>万元。</w:t>
      </w:r>
    </w:p>
    <w:p w:rsidR="00000000" w:rsidRDefault="00D306DE">
      <w:pPr>
        <w:pStyle w:val="21"/>
        <w:spacing w:line="620" w:lineRule="exact"/>
        <w:ind w:leftChars="0" w:left="0" w:firstLine="640"/>
      </w:pPr>
      <w:r>
        <w:rPr>
          <w:rFonts w:ascii="黑体" w:eastAsia="黑体" w:hAnsi="黑体" w:cs="仿宋_GB2312" w:hint="eastAsia"/>
          <w:sz w:val="32"/>
          <w:szCs w:val="32"/>
        </w:rPr>
        <w:t>第</w:t>
      </w:r>
      <w:r>
        <w:rPr>
          <w:rFonts w:ascii="黑体" w:eastAsia="黑体" w:hAnsi="黑体" w:cs="仿宋_GB2312" w:hint="eastAsia"/>
          <w:sz w:val="32"/>
          <w:szCs w:val="32"/>
        </w:rPr>
        <w:t>二十</w:t>
      </w:r>
      <w:r>
        <w:rPr>
          <w:rFonts w:ascii="黑体" w:eastAsia="黑体" w:hAnsi="黑体" w:cs="仿宋_GB2312" w:hint="eastAsia"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每年预算一定的宣传广告经费，在高铁、机场、人员密集场所等投放乡宁紫砂陶和乡宁县紫砂陶企业相关广告，加大对乡宁紫砂品牌和乡宁紫砂企业的宣传支持力度。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鼓励、支持优秀企业参加广交会、中博会、文博会等国家大型展</w:t>
      </w:r>
      <w:r>
        <w:rPr>
          <w:rFonts w:ascii="仿宋_GB2312" w:eastAsia="仿宋_GB2312" w:hAnsi="仿宋_GB2312" w:cs="仿宋_GB2312" w:hint="eastAsia"/>
          <w:sz w:val="32"/>
          <w:szCs w:val="32"/>
        </w:rPr>
        <w:t>会及省市县组织的各类专题招商活动，参展企业在参展前向乡宁示范区管委会报备，会后将相关资料报乡宁示范区管委会，对于参加的符合条件的展会，每次给予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万元的补贴。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第二十一条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由示范区结合本优惠办法制定具体的申报方案，并发布通知。对符合文件要求的实行申报、初审、审定、公示、兑现制度。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申报。</w:t>
      </w:r>
      <w:r>
        <w:rPr>
          <w:rFonts w:ascii="仿宋_GB2312" w:eastAsia="仿宋_GB2312" w:hAnsi="仿宋_GB2312" w:cs="仿宋_GB2312" w:hint="eastAsia"/>
          <w:sz w:val="32"/>
          <w:szCs w:val="32"/>
        </w:rPr>
        <w:t>乡宁示范区管委会发布申报通知后，符合条件的企业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每年申报一次（本办法印发后第一次申报时，时间范围为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日。此后为每年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月申报本年度）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相关企业未按照规定进行申报的视为自动放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弃。</w:t>
      </w:r>
    </w:p>
    <w:p w:rsidR="00000000" w:rsidRDefault="00D306DE">
      <w:pPr>
        <w:autoSpaceDE w:val="0"/>
        <w:spacing w:line="620" w:lineRule="exact"/>
        <w:ind w:firstLineChars="200" w:firstLine="640"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初审。</w:t>
      </w:r>
      <w:r>
        <w:rPr>
          <w:rFonts w:ascii="仿宋_GB2312" w:eastAsia="仿宋_GB2312" w:hAnsi="仿宋_GB2312" w:cs="仿宋_GB2312" w:hint="eastAsia"/>
          <w:sz w:val="32"/>
          <w:szCs w:val="32"/>
        </w:rPr>
        <w:t>乡宁示范区管委会对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申报材料进行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汇总</w:t>
      </w:r>
      <w:r>
        <w:rPr>
          <w:rFonts w:ascii="仿宋_GB2312" w:eastAsia="仿宋_GB2312" w:hAnsi="仿宋_GB2312" w:cs="仿宋_GB2312" w:hint="eastAsia"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并组织评审，评审后形成评审报告。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审定。乡宁示范区管委会将评审报告等相关材料上报县政府</w:t>
      </w:r>
      <w:r>
        <w:rPr>
          <w:rFonts w:ascii="仿宋_GB2312" w:eastAsia="仿宋_GB2312" w:hAnsi="仿宋_GB2312" w:cs="仿宋_GB2312" w:hint="eastAsia"/>
          <w:sz w:val="32"/>
          <w:szCs w:val="32"/>
        </w:rPr>
        <w:t>审</w:t>
      </w:r>
      <w:r>
        <w:rPr>
          <w:rFonts w:ascii="仿宋_GB2312" w:eastAsia="仿宋_GB2312" w:hAnsi="仿宋_GB2312" w:cs="仿宋_GB2312" w:hint="eastAsia"/>
          <w:sz w:val="32"/>
          <w:szCs w:val="32"/>
        </w:rPr>
        <w:t>定。</w:t>
      </w:r>
    </w:p>
    <w:p w:rsidR="00000000" w:rsidRDefault="00D306DE">
      <w:pPr>
        <w:autoSpaceDE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公示。</w:t>
      </w:r>
      <w:r>
        <w:rPr>
          <w:rFonts w:ascii="仿宋_GB2312" w:eastAsia="仿宋_GB2312" w:hAnsi="仿宋_GB2312" w:cs="仿宋_GB2312" w:hint="eastAsia"/>
          <w:sz w:val="32"/>
          <w:szCs w:val="32"/>
        </w:rPr>
        <w:t>经审</w:t>
      </w:r>
      <w:r>
        <w:rPr>
          <w:rFonts w:ascii="仿宋_GB2312" w:eastAsia="仿宋_GB2312" w:hAnsi="仿宋_GB2312" w:cs="仿宋_GB2312" w:hint="eastAsia"/>
          <w:sz w:val="32"/>
          <w:szCs w:val="32"/>
        </w:rPr>
        <w:t>定</w:t>
      </w:r>
      <w:r>
        <w:rPr>
          <w:rFonts w:ascii="仿宋_GB2312" w:eastAsia="仿宋_GB2312" w:hAnsi="仿宋_GB2312" w:cs="仿宋_GB2312" w:hint="eastAsia"/>
          <w:sz w:val="32"/>
          <w:szCs w:val="32"/>
        </w:rPr>
        <w:t>无异议的，对拟</w:t>
      </w:r>
      <w:r>
        <w:rPr>
          <w:rFonts w:ascii="仿宋_GB2312" w:eastAsia="仿宋_GB2312" w:hAnsi="仿宋_GB2312" w:cs="仿宋_GB2312" w:hint="eastAsia"/>
          <w:sz w:val="32"/>
          <w:szCs w:val="32"/>
        </w:rPr>
        <w:t>兑现相关优惠政策</w:t>
      </w:r>
      <w:r>
        <w:rPr>
          <w:rFonts w:ascii="仿宋_GB2312" w:eastAsia="仿宋_GB2312" w:hAnsi="仿宋_GB2312" w:cs="仿宋_GB2312" w:hint="eastAsia"/>
          <w:sz w:val="32"/>
          <w:szCs w:val="32"/>
        </w:rPr>
        <w:t>的项目、对象和金额进行公示。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兑现。经公示无异议的，报县政府批准后兑现</w:t>
      </w:r>
      <w:r>
        <w:rPr>
          <w:rFonts w:ascii="仿宋_GB2312" w:eastAsia="仿宋_GB2312" w:hAnsi="仿宋_GB2312" w:cs="仿宋_GB2312" w:hint="eastAsia"/>
          <w:sz w:val="32"/>
          <w:szCs w:val="32"/>
        </w:rPr>
        <w:t>奖励。申报</w:t>
      </w:r>
      <w:r>
        <w:rPr>
          <w:rFonts w:ascii="仿宋_GB2312" w:eastAsia="仿宋_GB2312" w:hAnsi="仿宋_GB2312" w:cs="仿宋_GB2312" w:hint="eastAsia"/>
          <w:sz w:val="32"/>
          <w:szCs w:val="32"/>
        </w:rPr>
        <w:t>对象在发出</w:t>
      </w:r>
      <w:r>
        <w:rPr>
          <w:rFonts w:ascii="仿宋_GB2312" w:eastAsia="仿宋_GB2312" w:hAnsi="仿宋_GB2312" w:cs="仿宋_GB2312" w:hint="eastAsia"/>
          <w:sz w:val="32"/>
          <w:szCs w:val="32"/>
        </w:rPr>
        <w:t>兑现</w:t>
      </w:r>
      <w:r>
        <w:rPr>
          <w:rFonts w:ascii="仿宋_GB2312" w:eastAsia="仿宋_GB2312" w:hAnsi="仿宋_GB2312" w:cs="仿宋_GB2312" w:hint="eastAsia"/>
          <w:sz w:val="32"/>
          <w:szCs w:val="32"/>
        </w:rPr>
        <w:t>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个月内未领取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相关奖励资金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的，视为自动放弃。</w:t>
      </w:r>
    </w:p>
    <w:p w:rsidR="00000000" w:rsidRDefault="00D306DE">
      <w:pPr>
        <w:adjustRightInd w:val="0"/>
        <w:snapToGrid w:val="0"/>
        <w:spacing w:line="620" w:lineRule="exact"/>
        <w:ind w:firstLineChars="200" w:firstLine="640"/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在申报时对达到市级奖励标准的，会同县工信局初审后向相关部门申报。在兑现奖励资金时对达到市级奖励标准的，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按照市、县两级财政比例兑现奖励。</w:t>
      </w:r>
    </w:p>
    <w:p w:rsidR="00000000" w:rsidRDefault="00D306DE">
      <w:pPr>
        <w:autoSpaceDE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第二十二条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国家、省、市有关各项优惠政策可</w:t>
      </w:r>
      <w:r>
        <w:rPr>
          <w:rFonts w:ascii="仿宋_GB2312" w:eastAsia="仿宋_GB2312" w:hAnsi="仿宋_GB2312" w:cs="仿宋_GB2312" w:hint="eastAsia"/>
          <w:sz w:val="32"/>
          <w:szCs w:val="32"/>
        </w:rPr>
        <w:t>与本优惠政策叠加享受。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本办法与我县现行相关政策有交叉重复的，按照“时间从新、标准从高、</w:t>
      </w:r>
      <w:r>
        <w:rPr>
          <w:rFonts w:ascii="仿宋_GB2312" w:eastAsia="仿宋_GB2312" w:hAnsi="仿宋_GB2312" w:cs="仿宋_GB2312" w:hint="eastAsia"/>
          <w:sz w:val="32"/>
          <w:szCs w:val="32"/>
        </w:rPr>
        <w:t>补贴奖励</w:t>
      </w:r>
      <w:r>
        <w:rPr>
          <w:rFonts w:ascii="仿宋_GB2312" w:eastAsia="仿宋_GB2312" w:hAnsi="仿宋_GB2312" w:cs="仿宋_GB2312" w:hint="eastAsia"/>
          <w:sz w:val="32"/>
          <w:szCs w:val="32"/>
        </w:rPr>
        <w:t>不重复”的原则执行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另有其他规定的除外。</w:t>
      </w:r>
    </w:p>
    <w:p w:rsidR="00000000" w:rsidRDefault="00D306DE">
      <w:pPr>
        <w:autoSpaceDE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第二十三条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对本办法中未列入的其他优惠事项，可根据投资者投资的产业、规模和要求，采取一事一议、特事特办的方式给予特殊优惠。</w:t>
      </w:r>
    </w:p>
    <w:p w:rsidR="00000000" w:rsidRDefault="00D306DE">
      <w:pPr>
        <w:autoSpaceDE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第二十四条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对采取各种不正当手段骗取补贴奖励的，除追回全部补贴奖励资金外，要追究相关人员的行政、经济责任；行为触犯刑律、构成犯罪的，由司法机关依法追究刑事责任。</w:t>
      </w:r>
    </w:p>
    <w:p w:rsidR="00000000" w:rsidRDefault="00D306DE">
      <w:pPr>
        <w:spacing w:line="62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第二十五条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本办法由乡宁示范区管委会负责解释。</w:t>
      </w:r>
    </w:p>
    <w:p w:rsidR="00000000" w:rsidRDefault="00D306DE">
      <w:pPr>
        <w:spacing w:line="640" w:lineRule="exact"/>
        <w:rPr>
          <w:rFonts w:ascii="仿宋_GB2312" w:eastAsia="仿宋_GB2312" w:hint="eastAsia"/>
          <w:sz w:val="32"/>
          <w:szCs w:val="32"/>
        </w:rPr>
      </w:pPr>
    </w:p>
    <w:p w:rsidR="00D306DE" w:rsidRDefault="00D306DE">
      <w:pPr>
        <w:spacing w:line="640" w:lineRule="exact"/>
        <w:ind w:right="480"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306DE">
      <w:footerReference w:type="default" r:id="rId6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DE" w:rsidRDefault="00D306DE" w:rsidP="00C244CE">
      <w:r>
        <w:separator/>
      </w:r>
    </w:p>
  </w:endnote>
  <w:endnote w:type="continuationSeparator" w:id="0">
    <w:p w:rsidR="00D306DE" w:rsidRDefault="00D306DE" w:rsidP="00C2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1" w:subsetted="1" w:fontKey="{033F5108-A24E-4C5A-B0D5-E3D418CAB8D8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2" w:subsetted="1" w:fontKey="{35041B3F-16B5-46E8-9671-EEA86928904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1A14404-7F74-4FBD-8BB3-F7DBF9EEE67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06D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D306DE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E1B00">
                  <w:rPr>
                    <w:rFonts w:ascii="宋体" w:hAnsi="宋体" w:cs="宋体"/>
                    <w:noProof/>
                    <w:sz w:val="28"/>
                    <w:szCs w:val="28"/>
                  </w:rPr>
                  <w:t>- 8 -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DE" w:rsidRDefault="00D306DE" w:rsidP="00C244CE">
      <w:r>
        <w:separator/>
      </w:r>
    </w:p>
  </w:footnote>
  <w:footnote w:type="continuationSeparator" w:id="0">
    <w:p w:rsidR="00D306DE" w:rsidRDefault="00D306DE" w:rsidP="00C24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CE1B00"/>
    <w:rsid w:val="00D306DE"/>
    <w:rsid w:val="03223C83"/>
    <w:rsid w:val="047F2327"/>
    <w:rsid w:val="04961C6F"/>
    <w:rsid w:val="064A7A15"/>
    <w:rsid w:val="086C22C1"/>
    <w:rsid w:val="08CA4B92"/>
    <w:rsid w:val="09106324"/>
    <w:rsid w:val="0B742B26"/>
    <w:rsid w:val="0CD520F0"/>
    <w:rsid w:val="0CE836A4"/>
    <w:rsid w:val="0D726071"/>
    <w:rsid w:val="102931E1"/>
    <w:rsid w:val="107A3550"/>
    <w:rsid w:val="122D3389"/>
    <w:rsid w:val="123A29F6"/>
    <w:rsid w:val="13045C52"/>
    <w:rsid w:val="14C074C4"/>
    <w:rsid w:val="162955B3"/>
    <w:rsid w:val="17190E2C"/>
    <w:rsid w:val="17563E2E"/>
    <w:rsid w:val="1920072A"/>
    <w:rsid w:val="19DD0836"/>
    <w:rsid w:val="1A817FCD"/>
    <w:rsid w:val="1B09556E"/>
    <w:rsid w:val="1B837312"/>
    <w:rsid w:val="1EEA4D39"/>
    <w:rsid w:val="1F1F52D3"/>
    <w:rsid w:val="1F5E41C7"/>
    <w:rsid w:val="1FA0658E"/>
    <w:rsid w:val="1FBD1F85"/>
    <w:rsid w:val="21B52629"/>
    <w:rsid w:val="21EE5D1D"/>
    <w:rsid w:val="21FE15C0"/>
    <w:rsid w:val="22A95AF2"/>
    <w:rsid w:val="23165F35"/>
    <w:rsid w:val="23316D95"/>
    <w:rsid w:val="236D655A"/>
    <w:rsid w:val="240D3915"/>
    <w:rsid w:val="254D4EA0"/>
    <w:rsid w:val="25FD5366"/>
    <w:rsid w:val="26725F02"/>
    <w:rsid w:val="26FD42C6"/>
    <w:rsid w:val="274719E5"/>
    <w:rsid w:val="275A45BE"/>
    <w:rsid w:val="28013A85"/>
    <w:rsid w:val="281F1F74"/>
    <w:rsid w:val="283E5EC1"/>
    <w:rsid w:val="29117E75"/>
    <w:rsid w:val="294C22D1"/>
    <w:rsid w:val="295B1DEE"/>
    <w:rsid w:val="2B886468"/>
    <w:rsid w:val="2BC43604"/>
    <w:rsid w:val="2CC23DC9"/>
    <w:rsid w:val="2CC80ED2"/>
    <w:rsid w:val="2DE35E62"/>
    <w:rsid w:val="2F4B454F"/>
    <w:rsid w:val="2F5513D2"/>
    <w:rsid w:val="2F745A6C"/>
    <w:rsid w:val="2FE000D5"/>
    <w:rsid w:val="300D3DF7"/>
    <w:rsid w:val="30186D9C"/>
    <w:rsid w:val="3024533F"/>
    <w:rsid w:val="316023F9"/>
    <w:rsid w:val="31714E5C"/>
    <w:rsid w:val="32486DF9"/>
    <w:rsid w:val="327C0AE2"/>
    <w:rsid w:val="32D94B8C"/>
    <w:rsid w:val="32F02F31"/>
    <w:rsid w:val="32FD72E8"/>
    <w:rsid w:val="33A63D61"/>
    <w:rsid w:val="33B0200F"/>
    <w:rsid w:val="33CF5711"/>
    <w:rsid w:val="38006E2C"/>
    <w:rsid w:val="38173414"/>
    <w:rsid w:val="38963666"/>
    <w:rsid w:val="38D16B3C"/>
    <w:rsid w:val="38D80EA1"/>
    <w:rsid w:val="39C177EA"/>
    <w:rsid w:val="3A1850CC"/>
    <w:rsid w:val="3BAB1C67"/>
    <w:rsid w:val="3BDA19E1"/>
    <w:rsid w:val="3BFD0FF8"/>
    <w:rsid w:val="3C1723D2"/>
    <w:rsid w:val="3C44771E"/>
    <w:rsid w:val="3DC5004A"/>
    <w:rsid w:val="3DDC2E4C"/>
    <w:rsid w:val="3E1E3150"/>
    <w:rsid w:val="3EBE7D71"/>
    <w:rsid w:val="3EFA2430"/>
    <w:rsid w:val="3F3F3440"/>
    <w:rsid w:val="3FCA44CC"/>
    <w:rsid w:val="40077B0C"/>
    <w:rsid w:val="4070791C"/>
    <w:rsid w:val="41AF4CFE"/>
    <w:rsid w:val="437D62CB"/>
    <w:rsid w:val="438F7BA8"/>
    <w:rsid w:val="43D010C8"/>
    <w:rsid w:val="443907BD"/>
    <w:rsid w:val="470014BA"/>
    <w:rsid w:val="475A3D2C"/>
    <w:rsid w:val="49437BA9"/>
    <w:rsid w:val="497809D3"/>
    <w:rsid w:val="4BD1756B"/>
    <w:rsid w:val="4BDA58C1"/>
    <w:rsid w:val="4D1C32B5"/>
    <w:rsid w:val="4DE33966"/>
    <w:rsid w:val="4ECF2BC3"/>
    <w:rsid w:val="4FE96B22"/>
    <w:rsid w:val="54C47CB2"/>
    <w:rsid w:val="54E05C2A"/>
    <w:rsid w:val="559F348B"/>
    <w:rsid w:val="55FA219D"/>
    <w:rsid w:val="56232843"/>
    <w:rsid w:val="56DD208A"/>
    <w:rsid w:val="59F45004"/>
    <w:rsid w:val="5A5D2A05"/>
    <w:rsid w:val="5B557525"/>
    <w:rsid w:val="5BA364E3"/>
    <w:rsid w:val="5C292E8C"/>
    <w:rsid w:val="5CD5091E"/>
    <w:rsid w:val="5D5030F0"/>
    <w:rsid w:val="5E653F23"/>
    <w:rsid w:val="5F5D2E4C"/>
    <w:rsid w:val="5FF05A6E"/>
    <w:rsid w:val="600116D3"/>
    <w:rsid w:val="60225BF0"/>
    <w:rsid w:val="62216B41"/>
    <w:rsid w:val="62A52FDD"/>
    <w:rsid w:val="634C4260"/>
    <w:rsid w:val="63F5164E"/>
    <w:rsid w:val="64A65AA5"/>
    <w:rsid w:val="65811504"/>
    <w:rsid w:val="66183424"/>
    <w:rsid w:val="6625438F"/>
    <w:rsid w:val="674E7C4A"/>
    <w:rsid w:val="68F337B7"/>
    <w:rsid w:val="69146CBC"/>
    <w:rsid w:val="6C4453F8"/>
    <w:rsid w:val="6E526AE8"/>
    <w:rsid w:val="6F99049D"/>
    <w:rsid w:val="70344246"/>
    <w:rsid w:val="704B508B"/>
    <w:rsid w:val="70C1323B"/>
    <w:rsid w:val="70D41BEF"/>
    <w:rsid w:val="71332534"/>
    <w:rsid w:val="716A509F"/>
    <w:rsid w:val="718916EB"/>
    <w:rsid w:val="72236D1D"/>
    <w:rsid w:val="723F4CBD"/>
    <w:rsid w:val="72474CE0"/>
    <w:rsid w:val="73395838"/>
    <w:rsid w:val="735B299A"/>
    <w:rsid w:val="77127469"/>
    <w:rsid w:val="78F67AD9"/>
    <w:rsid w:val="79ED51D0"/>
    <w:rsid w:val="7B823FE2"/>
    <w:rsid w:val="7B9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pPr>
      <w:keepNext/>
      <w:keepLines/>
      <w:outlineLvl w:val="4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paragraph" w:styleId="a6">
    <w:name w:val="Normal (Web)"/>
    <w:basedOn w:val="a"/>
    <w:next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semiHidden/>
    <w:rPr>
      <w:rFonts w:eastAsia="方正小标宋简体"/>
      <w:kern w:val="2"/>
      <w:sz w:val="44"/>
      <w:lang w:val="en-US" w:eastAsia="zh-CN" w:bidi="ar-SA"/>
    </w:rPr>
  </w:style>
  <w:style w:type="paragraph" w:customStyle="1" w:styleId="21">
    <w:name w:val="正文首行缩进 21"/>
    <w:basedOn w:val="1"/>
    <w:next w:val="a6"/>
    <w:qFormat/>
    <w:pPr>
      <w:ind w:firstLineChars="200" w:firstLine="200"/>
    </w:pPr>
  </w:style>
  <w:style w:type="paragraph" w:customStyle="1" w:styleId="1">
    <w:name w:val="正文文本缩进1"/>
    <w:basedOn w:val="a"/>
    <w:qFormat/>
    <w:pPr>
      <w:ind w:leftChars="200"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534</Words>
  <Characters>3044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Company>信念技术论坛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县政府常务会议材料 (楷体四号)        核稿人：（宋体小二）</dc:title>
  <dc:creator>User</dc:creator>
  <cp:lastModifiedBy>W10</cp:lastModifiedBy>
  <cp:revision>2</cp:revision>
  <cp:lastPrinted>2022-01-13T03:03:00Z</cp:lastPrinted>
  <dcterms:created xsi:type="dcterms:W3CDTF">2022-05-16T03:28:00Z</dcterms:created>
  <dcterms:modified xsi:type="dcterms:W3CDTF">2022-05-16T03:28:00Z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997E26535F6845088894FEAC43CE5BDC</vt:lpwstr>
  </property>
</Properties>
</file>